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2BC71" w14:textId="77777777" w:rsidR="00B77D7A" w:rsidRPr="00B77D7A" w:rsidRDefault="00B77D7A" w:rsidP="00B77D7A">
      <w:pPr>
        <w:spacing w:after="0" w:line="240" w:lineRule="auto"/>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 xml:space="preserve">Welding fumes are a common occupational exposure. Several different welding fumes can cause similar adverse health effects. Personal sampling of a welding operation at a manufacturing facility produced the following 8-hour time-weighted average (TWA) results for individual metal fumes. </w:t>
      </w:r>
    </w:p>
    <w:tbl>
      <w:tblPr>
        <w:tblW w:w="0" w:type="auto"/>
        <w:tblCellMar>
          <w:top w:w="15" w:type="dxa"/>
          <w:left w:w="15" w:type="dxa"/>
          <w:bottom w:w="15" w:type="dxa"/>
          <w:right w:w="15" w:type="dxa"/>
        </w:tblCellMar>
        <w:tblLook w:val="04A0" w:firstRow="1" w:lastRow="0" w:firstColumn="1" w:lastColumn="0" w:noHBand="0" w:noVBand="1"/>
      </w:tblPr>
      <w:tblGrid>
        <w:gridCol w:w="1828"/>
        <w:gridCol w:w="1633"/>
        <w:gridCol w:w="1367"/>
        <w:gridCol w:w="1947"/>
      </w:tblGrid>
      <w:tr w:rsidR="00B77D7A" w:rsidRPr="00B77D7A" w14:paraId="32662E71" w14:textId="77777777" w:rsidTr="00B77D7A">
        <w:tc>
          <w:tcPr>
            <w:tcW w:w="0" w:type="auto"/>
            <w:shd w:val="clear" w:color="auto" w:fill="auto"/>
            <w:tcMar>
              <w:top w:w="0" w:type="dxa"/>
              <w:left w:w="0" w:type="dxa"/>
              <w:bottom w:w="0" w:type="dxa"/>
              <w:right w:w="0" w:type="dxa"/>
            </w:tcMar>
            <w:vAlign w:val="center"/>
            <w:hideMark/>
          </w:tcPr>
          <w:p w14:paraId="6A9441D8" w14:textId="77777777" w:rsidR="00B77D7A" w:rsidRPr="00B77D7A" w:rsidRDefault="00B77D7A" w:rsidP="00B77D7A">
            <w:pPr>
              <w:spacing w:after="0" w:line="240" w:lineRule="auto"/>
              <w:rPr>
                <w:rFonts w:ascii="inherit" w:eastAsia="Times New Roman" w:hAnsi="inherit" w:cs="Times New Roman"/>
                <w:b/>
                <w:bCs/>
                <w:color w:val="333333"/>
                <w:sz w:val="24"/>
                <w:szCs w:val="24"/>
              </w:rPr>
            </w:pPr>
            <w:r w:rsidRPr="00B77D7A">
              <w:rPr>
                <w:rFonts w:ascii="inherit" w:eastAsia="Times New Roman" w:hAnsi="inherit" w:cs="Times New Roman"/>
                <w:b/>
                <w:bCs/>
                <w:color w:val="333333"/>
                <w:sz w:val="24"/>
                <w:szCs w:val="24"/>
              </w:rPr>
              <w:t>Metal Fume</w:t>
            </w:r>
          </w:p>
        </w:tc>
        <w:tc>
          <w:tcPr>
            <w:tcW w:w="0" w:type="auto"/>
            <w:shd w:val="clear" w:color="auto" w:fill="auto"/>
            <w:tcMar>
              <w:top w:w="0" w:type="dxa"/>
              <w:left w:w="0" w:type="dxa"/>
              <w:bottom w:w="0" w:type="dxa"/>
              <w:right w:w="0" w:type="dxa"/>
            </w:tcMar>
            <w:vAlign w:val="center"/>
            <w:hideMark/>
          </w:tcPr>
          <w:p w14:paraId="54AEF2FA" w14:textId="77777777" w:rsidR="00B77D7A" w:rsidRPr="00B77D7A" w:rsidRDefault="00B77D7A" w:rsidP="00B77D7A">
            <w:pPr>
              <w:spacing w:after="0" w:line="240" w:lineRule="auto"/>
              <w:rPr>
                <w:rFonts w:ascii="inherit" w:eastAsia="Times New Roman" w:hAnsi="inherit" w:cs="Times New Roman"/>
                <w:b/>
                <w:bCs/>
                <w:color w:val="333333"/>
                <w:sz w:val="24"/>
                <w:szCs w:val="24"/>
              </w:rPr>
            </w:pPr>
            <w:r w:rsidRPr="00B77D7A">
              <w:rPr>
                <w:rFonts w:ascii="inherit" w:eastAsia="Times New Roman" w:hAnsi="inherit" w:cs="Times New Roman"/>
                <w:b/>
                <w:bCs/>
                <w:color w:val="333333"/>
                <w:sz w:val="24"/>
                <w:szCs w:val="24"/>
              </w:rPr>
              <w:t>Result</w:t>
            </w:r>
          </w:p>
        </w:tc>
        <w:tc>
          <w:tcPr>
            <w:tcW w:w="0" w:type="auto"/>
            <w:shd w:val="clear" w:color="auto" w:fill="auto"/>
            <w:tcMar>
              <w:top w:w="0" w:type="dxa"/>
              <w:left w:w="0" w:type="dxa"/>
              <w:bottom w:w="0" w:type="dxa"/>
              <w:right w:w="0" w:type="dxa"/>
            </w:tcMar>
            <w:vAlign w:val="center"/>
            <w:hideMark/>
          </w:tcPr>
          <w:p w14:paraId="56AC5628" w14:textId="77777777" w:rsidR="00B77D7A" w:rsidRPr="00B77D7A" w:rsidRDefault="00B77D7A" w:rsidP="00B77D7A">
            <w:pPr>
              <w:spacing w:after="0" w:line="240" w:lineRule="auto"/>
              <w:rPr>
                <w:rFonts w:ascii="inherit" w:eastAsia="Times New Roman" w:hAnsi="inherit" w:cs="Times New Roman"/>
                <w:b/>
                <w:bCs/>
                <w:color w:val="333333"/>
                <w:sz w:val="24"/>
                <w:szCs w:val="24"/>
              </w:rPr>
            </w:pPr>
            <w:r w:rsidRPr="00B77D7A">
              <w:rPr>
                <w:rFonts w:ascii="inherit" w:eastAsia="Times New Roman" w:hAnsi="inherit" w:cs="Times New Roman"/>
                <w:b/>
                <w:bCs/>
                <w:color w:val="333333"/>
                <w:sz w:val="24"/>
                <w:szCs w:val="24"/>
              </w:rPr>
              <w:t>OSHA PEL</w:t>
            </w:r>
          </w:p>
        </w:tc>
        <w:tc>
          <w:tcPr>
            <w:tcW w:w="0" w:type="auto"/>
            <w:shd w:val="clear" w:color="auto" w:fill="auto"/>
            <w:tcMar>
              <w:top w:w="0" w:type="dxa"/>
              <w:left w:w="0" w:type="dxa"/>
              <w:bottom w:w="0" w:type="dxa"/>
              <w:right w:w="0" w:type="dxa"/>
            </w:tcMar>
            <w:vAlign w:val="center"/>
            <w:hideMark/>
          </w:tcPr>
          <w:p w14:paraId="2C72279B" w14:textId="77777777" w:rsidR="00B77D7A" w:rsidRPr="00B77D7A" w:rsidRDefault="00B77D7A" w:rsidP="00B77D7A">
            <w:pPr>
              <w:spacing w:after="0" w:line="240" w:lineRule="auto"/>
              <w:rPr>
                <w:rFonts w:ascii="inherit" w:eastAsia="Times New Roman" w:hAnsi="inherit" w:cs="Times New Roman"/>
                <w:b/>
                <w:bCs/>
                <w:color w:val="333333"/>
                <w:sz w:val="24"/>
                <w:szCs w:val="24"/>
              </w:rPr>
            </w:pPr>
            <w:r w:rsidRPr="00B77D7A">
              <w:rPr>
                <w:rFonts w:ascii="inherit" w:eastAsia="Times New Roman" w:hAnsi="inherit" w:cs="Times New Roman"/>
                <w:b/>
                <w:bCs/>
                <w:color w:val="333333"/>
                <w:sz w:val="24"/>
                <w:szCs w:val="24"/>
              </w:rPr>
              <w:t xml:space="preserve">ACGIH TLV </w:t>
            </w:r>
          </w:p>
        </w:tc>
      </w:tr>
      <w:tr w:rsidR="00B77D7A" w:rsidRPr="00B77D7A" w14:paraId="1D240B0D" w14:textId="77777777" w:rsidTr="00B77D7A">
        <w:tc>
          <w:tcPr>
            <w:tcW w:w="0" w:type="auto"/>
            <w:shd w:val="clear" w:color="auto" w:fill="auto"/>
            <w:tcMar>
              <w:top w:w="0" w:type="dxa"/>
              <w:left w:w="0" w:type="dxa"/>
              <w:bottom w:w="0" w:type="dxa"/>
              <w:right w:w="0" w:type="dxa"/>
            </w:tcMar>
            <w:vAlign w:val="center"/>
            <w:hideMark/>
          </w:tcPr>
          <w:p w14:paraId="15106352"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Antimony</w:t>
            </w:r>
          </w:p>
        </w:tc>
        <w:tc>
          <w:tcPr>
            <w:tcW w:w="0" w:type="auto"/>
            <w:shd w:val="clear" w:color="auto" w:fill="auto"/>
            <w:tcMar>
              <w:top w:w="0" w:type="dxa"/>
              <w:left w:w="0" w:type="dxa"/>
              <w:bottom w:w="0" w:type="dxa"/>
              <w:right w:w="0" w:type="dxa"/>
            </w:tcMar>
            <w:vAlign w:val="center"/>
            <w:hideMark/>
          </w:tcPr>
          <w:p w14:paraId="30BEF218"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0.05 mg/m³</w:t>
            </w:r>
          </w:p>
        </w:tc>
        <w:tc>
          <w:tcPr>
            <w:tcW w:w="0" w:type="auto"/>
            <w:shd w:val="clear" w:color="auto" w:fill="auto"/>
            <w:tcMar>
              <w:top w:w="0" w:type="dxa"/>
              <w:left w:w="0" w:type="dxa"/>
              <w:bottom w:w="0" w:type="dxa"/>
              <w:right w:w="0" w:type="dxa"/>
            </w:tcMar>
            <w:vAlign w:val="center"/>
            <w:hideMark/>
          </w:tcPr>
          <w:p w14:paraId="285A4A21"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0.5 mg/m³</w:t>
            </w:r>
          </w:p>
        </w:tc>
        <w:tc>
          <w:tcPr>
            <w:tcW w:w="0" w:type="auto"/>
            <w:shd w:val="clear" w:color="auto" w:fill="auto"/>
            <w:tcMar>
              <w:top w:w="0" w:type="dxa"/>
              <w:left w:w="0" w:type="dxa"/>
              <w:bottom w:w="0" w:type="dxa"/>
              <w:right w:w="0" w:type="dxa"/>
            </w:tcMar>
            <w:vAlign w:val="center"/>
            <w:hideMark/>
          </w:tcPr>
          <w:p w14:paraId="2ADA8B70"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0.5 mg/m³</w:t>
            </w:r>
          </w:p>
        </w:tc>
      </w:tr>
      <w:tr w:rsidR="00B77D7A" w:rsidRPr="00B77D7A" w14:paraId="1959BB0E" w14:textId="77777777" w:rsidTr="00B77D7A">
        <w:tc>
          <w:tcPr>
            <w:tcW w:w="0" w:type="auto"/>
            <w:shd w:val="clear" w:color="auto" w:fill="auto"/>
            <w:tcMar>
              <w:top w:w="0" w:type="dxa"/>
              <w:left w:w="0" w:type="dxa"/>
              <w:bottom w:w="0" w:type="dxa"/>
              <w:right w:w="0" w:type="dxa"/>
            </w:tcMar>
            <w:vAlign w:val="center"/>
            <w:hideMark/>
          </w:tcPr>
          <w:p w14:paraId="0AC8B084"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Beryllium</w:t>
            </w:r>
          </w:p>
        </w:tc>
        <w:tc>
          <w:tcPr>
            <w:tcW w:w="0" w:type="auto"/>
            <w:shd w:val="clear" w:color="auto" w:fill="auto"/>
            <w:tcMar>
              <w:top w:w="0" w:type="dxa"/>
              <w:left w:w="0" w:type="dxa"/>
              <w:bottom w:w="0" w:type="dxa"/>
              <w:right w:w="0" w:type="dxa"/>
            </w:tcMar>
            <w:vAlign w:val="center"/>
            <w:hideMark/>
          </w:tcPr>
          <w:p w14:paraId="502873AC"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0.00001 mg/m³</w:t>
            </w:r>
          </w:p>
        </w:tc>
        <w:tc>
          <w:tcPr>
            <w:tcW w:w="0" w:type="auto"/>
            <w:shd w:val="clear" w:color="auto" w:fill="auto"/>
            <w:tcMar>
              <w:top w:w="0" w:type="dxa"/>
              <w:left w:w="0" w:type="dxa"/>
              <w:bottom w:w="0" w:type="dxa"/>
              <w:right w:w="0" w:type="dxa"/>
            </w:tcMar>
            <w:vAlign w:val="center"/>
            <w:hideMark/>
          </w:tcPr>
          <w:p w14:paraId="3AEA5E68"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0.002 mg/m³</w:t>
            </w:r>
          </w:p>
        </w:tc>
        <w:tc>
          <w:tcPr>
            <w:tcW w:w="0" w:type="auto"/>
            <w:shd w:val="clear" w:color="auto" w:fill="auto"/>
            <w:tcMar>
              <w:top w:w="0" w:type="dxa"/>
              <w:left w:w="0" w:type="dxa"/>
              <w:bottom w:w="0" w:type="dxa"/>
              <w:right w:w="0" w:type="dxa"/>
            </w:tcMar>
            <w:vAlign w:val="center"/>
            <w:hideMark/>
          </w:tcPr>
          <w:p w14:paraId="4C349C37"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0.00005 mg/m³ (I)</w:t>
            </w:r>
          </w:p>
        </w:tc>
      </w:tr>
      <w:tr w:rsidR="00B77D7A" w:rsidRPr="00B77D7A" w14:paraId="1543E25E" w14:textId="77777777" w:rsidTr="00B77D7A">
        <w:tc>
          <w:tcPr>
            <w:tcW w:w="0" w:type="auto"/>
            <w:shd w:val="clear" w:color="auto" w:fill="auto"/>
            <w:tcMar>
              <w:top w:w="0" w:type="dxa"/>
              <w:left w:w="0" w:type="dxa"/>
              <w:bottom w:w="0" w:type="dxa"/>
              <w:right w:w="0" w:type="dxa"/>
            </w:tcMar>
            <w:vAlign w:val="center"/>
            <w:hideMark/>
          </w:tcPr>
          <w:p w14:paraId="2269D018"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Cadmium</w:t>
            </w:r>
          </w:p>
        </w:tc>
        <w:tc>
          <w:tcPr>
            <w:tcW w:w="0" w:type="auto"/>
            <w:shd w:val="clear" w:color="auto" w:fill="auto"/>
            <w:tcMar>
              <w:top w:w="0" w:type="dxa"/>
              <w:left w:w="0" w:type="dxa"/>
              <w:bottom w:w="0" w:type="dxa"/>
              <w:right w:w="0" w:type="dxa"/>
            </w:tcMar>
            <w:vAlign w:val="center"/>
            <w:hideMark/>
          </w:tcPr>
          <w:p w14:paraId="5060F18C"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 xml:space="preserve">0.025 mg/m³ </w:t>
            </w:r>
          </w:p>
        </w:tc>
        <w:tc>
          <w:tcPr>
            <w:tcW w:w="0" w:type="auto"/>
            <w:shd w:val="clear" w:color="auto" w:fill="auto"/>
            <w:tcMar>
              <w:top w:w="0" w:type="dxa"/>
              <w:left w:w="0" w:type="dxa"/>
              <w:bottom w:w="0" w:type="dxa"/>
              <w:right w:w="0" w:type="dxa"/>
            </w:tcMar>
            <w:vAlign w:val="center"/>
            <w:hideMark/>
          </w:tcPr>
          <w:p w14:paraId="321F76FB"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0.1 mg/m³</w:t>
            </w:r>
          </w:p>
        </w:tc>
        <w:tc>
          <w:tcPr>
            <w:tcW w:w="0" w:type="auto"/>
            <w:shd w:val="clear" w:color="auto" w:fill="auto"/>
            <w:tcMar>
              <w:top w:w="0" w:type="dxa"/>
              <w:left w:w="0" w:type="dxa"/>
              <w:bottom w:w="0" w:type="dxa"/>
              <w:right w:w="0" w:type="dxa"/>
            </w:tcMar>
            <w:vAlign w:val="center"/>
            <w:hideMark/>
          </w:tcPr>
          <w:p w14:paraId="7C243CF8"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0.01 mg/m³</w:t>
            </w:r>
          </w:p>
        </w:tc>
      </w:tr>
      <w:tr w:rsidR="00B77D7A" w:rsidRPr="00B77D7A" w14:paraId="762E1B9E" w14:textId="77777777" w:rsidTr="00B77D7A">
        <w:tc>
          <w:tcPr>
            <w:tcW w:w="0" w:type="auto"/>
            <w:shd w:val="clear" w:color="auto" w:fill="auto"/>
            <w:tcMar>
              <w:top w:w="0" w:type="dxa"/>
              <w:left w:w="0" w:type="dxa"/>
              <w:bottom w:w="0" w:type="dxa"/>
              <w:right w:w="0" w:type="dxa"/>
            </w:tcMar>
            <w:vAlign w:val="center"/>
            <w:hideMark/>
          </w:tcPr>
          <w:p w14:paraId="684FF5C1"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Chromium</w:t>
            </w:r>
          </w:p>
        </w:tc>
        <w:tc>
          <w:tcPr>
            <w:tcW w:w="0" w:type="auto"/>
            <w:shd w:val="clear" w:color="auto" w:fill="auto"/>
            <w:tcMar>
              <w:top w:w="0" w:type="dxa"/>
              <w:left w:w="0" w:type="dxa"/>
              <w:bottom w:w="0" w:type="dxa"/>
              <w:right w:w="0" w:type="dxa"/>
            </w:tcMar>
            <w:vAlign w:val="center"/>
            <w:hideMark/>
          </w:tcPr>
          <w:p w14:paraId="5E93E380"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0.02 mg/m³</w:t>
            </w:r>
          </w:p>
        </w:tc>
        <w:tc>
          <w:tcPr>
            <w:tcW w:w="0" w:type="auto"/>
            <w:shd w:val="clear" w:color="auto" w:fill="auto"/>
            <w:tcMar>
              <w:top w:w="0" w:type="dxa"/>
              <w:left w:w="0" w:type="dxa"/>
              <w:bottom w:w="0" w:type="dxa"/>
              <w:right w:w="0" w:type="dxa"/>
            </w:tcMar>
            <w:vAlign w:val="center"/>
            <w:hideMark/>
          </w:tcPr>
          <w:p w14:paraId="6A8B7F09"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 mg/m³</w:t>
            </w:r>
          </w:p>
        </w:tc>
        <w:tc>
          <w:tcPr>
            <w:tcW w:w="0" w:type="auto"/>
            <w:shd w:val="clear" w:color="auto" w:fill="auto"/>
            <w:tcMar>
              <w:top w:w="0" w:type="dxa"/>
              <w:left w:w="0" w:type="dxa"/>
              <w:bottom w:w="0" w:type="dxa"/>
              <w:right w:w="0" w:type="dxa"/>
            </w:tcMar>
            <w:vAlign w:val="center"/>
            <w:hideMark/>
          </w:tcPr>
          <w:p w14:paraId="04957ECC"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0.5 mg/m³</w:t>
            </w:r>
          </w:p>
        </w:tc>
      </w:tr>
      <w:tr w:rsidR="00B77D7A" w:rsidRPr="00B77D7A" w14:paraId="11EEC4EE" w14:textId="77777777" w:rsidTr="00B77D7A">
        <w:tc>
          <w:tcPr>
            <w:tcW w:w="0" w:type="auto"/>
            <w:shd w:val="clear" w:color="auto" w:fill="auto"/>
            <w:tcMar>
              <w:top w:w="0" w:type="dxa"/>
              <w:left w:w="0" w:type="dxa"/>
              <w:bottom w:w="0" w:type="dxa"/>
              <w:right w:w="0" w:type="dxa"/>
            </w:tcMar>
            <w:vAlign w:val="center"/>
            <w:hideMark/>
          </w:tcPr>
          <w:p w14:paraId="61E66F7D"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Copper</w:t>
            </w:r>
          </w:p>
        </w:tc>
        <w:tc>
          <w:tcPr>
            <w:tcW w:w="0" w:type="auto"/>
            <w:shd w:val="clear" w:color="auto" w:fill="auto"/>
            <w:tcMar>
              <w:top w:w="0" w:type="dxa"/>
              <w:left w:w="0" w:type="dxa"/>
              <w:bottom w:w="0" w:type="dxa"/>
              <w:right w:w="0" w:type="dxa"/>
            </w:tcMar>
            <w:vAlign w:val="center"/>
            <w:hideMark/>
          </w:tcPr>
          <w:p w14:paraId="604FE83F"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0.03 mg/m³</w:t>
            </w:r>
          </w:p>
        </w:tc>
        <w:tc>
          <w:tcPr>
            <w:tcW w:w="0" w:type="auto"/>
            <w:shd w:val="clear" w:color="auto" w:fill="auto"/>
            <w:tcMar>
              <w:top w:w="0" w:type="dxa"/>
              <w:left w:w="0" w:type="dxa"/>
              <w:bottom w:w="0" w:type="dxa"/>
              <w:right w:w="0" w:type="dxa"/>
            </w:tcMar>
            <w:vAlign w:val="center"/>
            <w:hideMark/>
          </w:tcPr>
          <w:p w14:paraId="748DB0EB"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0.1 mg/m³</w:t>
            </w:r>
          </w:p>
        </w:tc>
        <w:tc>
          <w:tcPr>
            <w:tcW w:w="0" w:type="auto"/>
            <w:shd w:val="clear" w:color="auto" w:fill="auto"/>
            <w:tcMar>
              <w:top w:w="0" w:type="dxa"/>
              <w:left w:w="0" w:type="dxa"/>
              <w:bottom w:w="0" w:type="dxa"/>
              <w:right w:w="0" w:type="dxa"/>
            </w:tcMar>
            <w:vAlign w:val="center"/>
            <w:hideMark/>
          </w:tcPr>
          <w:p w14:paraId="7AC9271F"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0.2 mg/m³</w:t>
            </w:r>
          </w:p>
        </w:tc>
      </w:tr>
      <w:tr w:rsidR="00B77D7A" w:rsidRPr="00B77D7A" w14:paraId="3988EEF3" w14:textId="77777777" w:rsidTr="00B77D7A">
        <w:tc>
          <w:tcPr>
            <w:tcW w:w="0" w:type="auto"/>
            <w:shd w:val="clear" w:color="auto" w:fill="auto"/>
            <w:tcMar>
              <w:top w:w="0" w:type="dxa"/>
              <w:left w:w="0" w:type="dxa"/>
              <w:bottom w:w="0" w:type="dxa"/>
              <w:right w:w="0" w:type="dxa"/>
            </w:tcMar>
            <w:vAlign w:val="center"/>
            <w:hideMark/>
          </w:tcPr>
          <w:p w14:paraId="10058AE6"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Iron Oxide</w:t>
            </w:r>
          </w:p>
        </w:tc>
        <w:tc>
          <w:tcPr>
            <w:tcW w:w="0" w:type="auto"/>
            <w:shd w:val="clear" w:color="auto" w:fill="auto"/>
            <w:tcMar>
              <w:top w:w="0" w:type="dxa"/>
              <w:left w:w="0" w:type="dxa"/>
              <w:bottom w:w="0" w:type="dxa"/>
              <w:right w:w="0" w:type="dxa"/>
            </w:tcMar>
            <w:vAlign w:val="center"/>
            <w:hideMark/>
          </w:tcPr>
          <w:p w14:paraId="3FAE4204"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0.5 mg/m³</w:t>
            </w:r>
          </w:p>
        </w:tc>
        <w:tc>
          <w:tcPr>
            <w:tcW w:w="0" w:type="auto"/>
            <w:shd w:val="clear" w:color="auto" w:fill="auto"/>
            <w:tcMar>
              <w:top w:w="0" w:type="dxa"/>
              <w:left w:w="0" w:type="dxa"/>
              <w:bottom w:w="0" w:type="dxa"/>
              <w:right w:w="0" w:type="dxa"/>
            </w:tcMar>
            <w:vAlign w:val="center"/>
            <w:hideMark/>
          </w:tcPr>
          <w:p w14:paraId="1B277097"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10 mg/m³</w:t>
            </w:r>
          </w:p>
        </w:tc>
        <w:tc>
          <w:tcPr>
            <w:tcW w:w="0" w:type="auto"/>
            <w:shd w:val="clear" w:color="auto" w:fill="auto"/>
            <w:tcMar>
              <w:top w:w="0" w:type="dxa"/>
              <w:left w:w="0" w:type="dxa"/>
              <w:bottom w:w="0" w:type="dxa"/>
              <w:right w:w="0" w:type="dxa"/>
            </w:tcMar>
            <w:vAlign w:val="center"/>
            <w:hideMark/>
          </w:tcPr>
          <w:p w14:paraId="5317223A"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5 mg/m³ (R)</w:t>
            </w:r>
          </w:p>
        </w:tc>
      </w:tr>
      <w:tr w:rsidR="00B77D7A" w:rsidRPr="00B77D7A" w14:paraId="4E18022D" w14:textId="77777777" w:rsidTr="00B77D7A">
        <w:tc>
          <w:tcPr>
            <w:tcW w:w="0" w:type="auto"/>
            <w:shd w:val="clear" w:color="auto" w:fill="auto"/>
            <w:tcMar>
              <w:top w:w="0" w:type="dxa"/>
              <w:left w:w="0" w:type="dxa"/>
              <w:bottom w:w="0" w:type="dxa"/>
              <w:right w:w="0" w:type="dxa"/>
            </w:tcMar>
            <w:vAlign w:val="center"/>
            <w:hideMark/>
          </w:tcPr>
          <w:p w14:paraId="5543BEFC"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Magnesium Oxide</w:t>
            </w:r>
          </w:p>
        </w:tc>
        <w:tc>
          <w:tcPr>
            <w:tcW w:w="0" w:type="auto"/>
            <w:shd w:val="clear" w:color="auto" w:fill="auto"/>
            <w:tcMar>
              <w:top w:w="0" w:type="dxa"/>
              <w:left w:w="0" w:type="dxa"/>
              <w:bottom w:w="0" w:type="dxa"/>
              <w:right w:w="0" w:type="dxa"/>
            </w:tcMar>
            <w:vAlign w:val="center"/>
            <w:hideMark/>
          </w:tcPr>
          <w:p w14:paraId="2302BA2B"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0.02 mg/m³</w:t>
            </w:r>
          </w:p>
        </w:tc>
        <w:tc>
          <w:tcPr>
            <w:tcW w:w="0" w:type="auto"/>
            <w:shd w:val="clear" w:color="auto" w:fill="auto"/>
            <w:tcMar>
              <w:top w:w="0" w:type="dxa"/>
              <w:left w:w="0" w:type="dxa"/>
              <w:bottom w:w="0" w:type="dxa"/>
              <w:right w:w="0" w:type="dxa"/>
            </w:tcMar>
            <w:vAlign w:val="center"/>
            <w:hideMark/>
          </w:tcPr>
          <w:p w14:paraId="3AACB753"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15 mg/m³</w:t>
            </w:r>
          </w:p>
        </w:tc>
        <w:tc>
          <w:tcPr>
            <w:tcW w:w="0" w:type="auto"/>
            <w:shd w:val="clear" w:color="auto" w:fill="auto"/>
            <w:tcMar>
              <w:top w:w="0" w:type="dxa"/>
              <w:left w:w="0" w:type="dxa"/>
              <w:bottom w:w="0" w:type="dxa"/>
              <w:right w:w="0" w:type="dxa"/>
            </w:tcMar>
            <w:vAlign w:val="center"/>
            <w:hideMark/>
          </w:tcPr>
          <w:p w14:paraId="0F01AB5F"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10 mg/m³</w:t>
            </w:r>
          </w:p>
        </w:tc>
      </w:tr>
      <w:tr w:rsidR="00B77D7A" w:rsidRPr="00B77D7A" w14:paraId="654AF039" w14:textId="77777777" w:rsidTr="00B77D7A">
        <w:tc>
          <w:tcPr>
            <w:tcW w:w="0" w:type="auto"/>
            <w:shd w:val="clear" w:color="auto" w:fill="auto"/>
            <w:tcMar>
              <w:top w:w="0" w:type="dxa"/>
              <w:left w:w="0" w:type="dxa"/>
              <w:bottom w:w="0" w:type="dxa"/>
              <w:right w:w="0" w:type="dxa"/>
            </w:tcMar>
            <w:vAlign w:val="center"/>
            <w:hideMark/>
          </w:tcPr>
          <w:p w14:paraId="0A1847B3"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Molybdenum</w:t>
            </w:r>
          </w:p>
        </w:tc>
        <w:tc>
          <w:tcPr>
            <w:tcW w:w="0" w:type="auto"/>
            <w:shd w:val="clear" w:color="auto" w:fill="auto"/>
            <w:tcMar>
              <w:top w:w="0" w:type="dxa"/>
              <w:left w:w="0" w:type="dxa"/>
              <w:bottom w:w="0" w:type="dxa"/>
              <w:right w:w="0" w:type="dxa"/>
            </w:tcMar>
            <w:vAlign w:val="center"/>
            <w:hideMark/>
          </w:tcPr>
          <w:p w14:paraId="60835F37"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0.003 mg/m³</w:t>
            </w:r>
          </w:p>
        </w:tc>
        <w:tc>
          <w:tcPr>
            <w:tcW w:w="0" w:type="auto"/>
            <w:shd w:val="clear" w:color="auto" w:fill="auto"/>
            <w:tcMar>
              <w:top w:w="0" w:type="dxa"/>
              <w:left w:w="0" w:type="dxa"/>
              <w:bottom w:w="0" w:type="dxa"/>
              <w:right w:w="0" w:type="dxa"/>
            </w:tcMar>
            <w:vAlign w:val="center"/>
            <w:hideMark/>
          </w:tcPr>
          <w:p w14:paraId="2AE89BDF"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15 mg/m³</w:t>
            </w:r>
          </w:p>
        </w:tc>
        <w:tc>
          <w:tcPr>
            <w:tcW w:w="0" w:type="auto"/>
            <w:shd w:val="clear" w:color="auto" w:fill="auto"/>
            <w:tcMar>
              <w:top w:w="0" w:type="dxa"/>
              <w:left w:w="0" w:type="dxa"/>
              <w:bottom w:w="0" w:type="dxa"/>
              <w:right w:w="0" w:type="dxa"/>
            </w:tcMar>
            <w:vAlign w:val="center"/>
            <w:hideMark/>
          </w:tcPr>
          <w:p w14:paraId="38B07A27"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10 mg/m³ (I)</w:t>
            </w:r>
          </w:p>
        </w:tc>
      </w:tr>
      <w:tr w:rsidR="00B77D7A" w:rsidRPr="00B77D7A" w14:paraId="4CA7238E" w14:textId="77777777" w:rsidTr="00B77D7A">
        <w:tc>
          <w:tcPr>
            <w:tcW w:w="0" w:type="auto"/>
            <w:shd w:val="clear" w:color="auto" w:fill="auto"/>
            <w:tcMar>
              <w:top w:w="0" w:type="dxa"/>
              <w:left w:w="0" w:type="dxa"/>
              <w:bottom w:w="0" w:type="dxa"/>
              <w:right w:w="0" w:type="dxa"/>
            </w:tcMar>
            <w:vAlign w:val="center"/>
            <w:hideMark/>
          </w:tcPr>
          <w:p w14:paraId="06EEB48B"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Nickel</w:t>
            </w:r>
          </w:p>
        </w:tc>
        <w:tc>
          <w:tcPr>
            <w:tcW w:w="0" w:type="auto"/>
            <w:shd w:val="clear" w:color="auto" w:fill="auto"/>
            <w:tcMar>
              <w:top w:w="0" w:type="dxa"/>
              <w:left w:w="0" w:type="dxa"/>
              <w:bottom w:w="0" w:type="dxa"/>
              <w:right w:w="0" w:type="dxa"/>
            </w:tcMar>
            <w:vAlign w:val="center"/>
            <w:hideMark/>
          </w:tcPr>
          <w:p w14:paraId="0E90F950"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0.25 mg/m³</w:t>
            </w:r>
          </w:p>
        </w:tc>
        <w:tc>
          <w:tcPr>
            <w:tcW w:w="0" w:type="auto"/>
            <w:shd w:val="clear" w:color="auto" w:fill="auto"/>
            <w:tcMar>
              <w:top w:w="0" w:type="dxa"/>
              <w:left w:w="0" w:type="dxa"/>
              <w:bottom w:w="0" w:type="dxa"/>
              <w:right w:w="0" w:type="dxa"/>
            </w:tcMar>
            <w:vAlign w:val="center"/>
            <w:hideMark/>
          </w:tcPr>
          <w:p w14:paraId="6AB92A1B"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 mg/m³</w:t>
            </w:r>
          </w:p>
        </w:tc>
        <w:tc>
          <w:tcPr>
            <w:tcW w:w="0" w:type="auto"/>
            <w:shd w:val="clear" w:color="auto" w:fill="auto"/>
            <w:tcMar>
              <w:top w:w="0" w:type="dxa"/>
              <w:left w:w="0" w:type="dxa"/>
              <w:bottom w:w="0" w:type="dxa"/>
              <w:right w:w="0" w:type="dxa"/>
            </w:tcMar>
            <w:vAlign w:val="center"/>
            <w:hideMark/>
          </w:tcPr>
          <w:p w14:paraId="5C9148EA"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1.5 mg/m³ (I)</w:t>
            </w:r>
          </w:p>
        </w:tc>
      </w:tr>
      <w:tr w:rsidR="00B77D7A" w:rsidRPr="00B77D7A" w14:paraId="7F720C2F" w14:textId="77777777" w:rsidTr="00B77D7A">
        <w:tc>
          <w:tcPr>
            <w:tcW w:w="0" w:type="auto"/>
            <w:shd w:val="clear" w:color="auto" w:fill="auto"/>
            <w:tcMar>
              <w:top w:w="0" w:type="dxa"/>
              <w:left w:w="0" w:type="dxa"/>
              <w:bottom w:w="0" w:type="dxa"/>
              <w:right w:w="0" w:type="dxa"/>
            </w:tcMar>
            <w:vAlign w:val="center"/>
            <w:hideMark/>
          </w:tcPr>
          <w:p w14:paraId="430BE3AA"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Zinc Oxide</w:t>
            </w:r>
          </w:p>
        </w:tc>
        <w:tc>
          <w:tcPr>
            <w:tcW w:w="0" w:type="auto"/>
            <w:shd w:val="clear" w:color="auto" w:fill="auto"/>
            <w:tcMar>
              <w:top w:w="0" w:type="dxa"/>
              <w:left w:w="0" w:type="dxa"/>
              <w:bottom w:w="0" w:type="dxa"/>
              <w:right w:w="0" w:type="dxa"/>
            </w:tcMar>
            <w:vAlign w:val="center"/>
            <w:hideMark/>
          </w:tcPr>
          <w:p w14:paraId="3A29CBDF"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0.3 mg/m³</w:t>
            </w:r>
          </w:p>
        </w:tc>
        <w:tc>
          <w:tcPr>
            <w:tcW w:w="0" w:type="auto"/>
            <w:shd w:val="clear" w:color="auto" w:fill="auto"/>
            <w:tcMar>
              <w:top w:w="0" w:type="dxa"/>
              <w:left w:w="0" w:type="dxa"/>
              <w:bottom w:w="0" w:type="dxa"/>
              <w:right w:w="0" w:type="dxa"/>
            </w:tcMar>
            <w:vAlign w:val="center"/>
            <w:hideMark/>
          </w:tcPr>
          <w:p w14:paraId="707EFF0D"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5 mg/m³</w:t>
            </w:r>
          </w:p>
        </w:tc>
        <w:tc>
          <w:tcPr>
            <w:tcW w:w="0" w:type="auto"/>
            <w:shd w:val="clear" w:color="auto" w:fill="auto"/>
            <w:tcMar>
              <w:top w:w="0" w:type="dxa"/>
              <w:left w:w="0" w:type="dxa"/>
              <w:bottom w:w="0" w:type="dxa"/>
              <w:right w:w="0" w:type="dxa"/>
            </w:tcMar>
            <w:vAlign w:val="center"/>
            <w:hideMark/>
          </w:tcPr>
          <w:p w14:paraId="530B9C25" w14:textId="77777777" w:rsidR="00B77D7A" w:rsidRPr="00B77D7A" w:rsidRDefault="00B77D7A" w:rsidP="00B77D7A">
            <w:pPr>
              <w:spacing w:after="0" w:line="240" w:lineRule="auto"/>
              <w:jc w:val="center"/>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2 mg/m³ (R)</w:t>
            </w:r>
          </w:p>
        </w:tc>
      </w:tr>
    </w:tbl>
    <w:p w14:paraId="554A519F" w14:textId="77777777" w:rsidR="00B77D7A" w:rsidRPr="00B77D7A" w:rsidRDefault="00B77D7A" w:rsidP="00B77D7A">
      <w:pPr>
        <w:spacing w:after="0" w:line="240" w:lineRule="auto"/>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 xml:space="preserve">(R) Respirable fraction (I) Inhalable fraction </w:t>
      </w:r>
    </w:p>
    <w:p w14:paraId="1F2A25FE" w14:textId="77777777" w:rsidR="00B77D7A" w:rsidRPr="00B77D7A" w:rsidRDefault="00B77D7A" w:rsidP="00B77D7A">
      <w:pPr>
        <w:spacing w:after="0" w:line="240" w:lineRule="auto"/>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 xml:space="preserve">Briefly summarize the primary health effects associated with overexposure to each type of metal fume, including both acute and chronic health effects. Explain what analytical methods you would use for evaluating health hazards in the workplace. </w:t>
      </w:r>
    </w:p>
    <w:p w14:paraId="2F0043F6" w14:textId="77777777" w:rsidR="00B77D7A" w:rsidRPr="00B77D7A" w:rsidRDefault="00B77D7A" w:rsidP="00B77D7A">
      <w:pPr>
        <w:spacing w:after="0" w:line="240" w:lineRule="auto"/>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Identify the types of metal fumes that would produce similar health effects on an exposed worker. Assume that each listed metal can cause respiratory irritation. Use the equation in 1910.1000(d)(2)(</w:t>
      </w:r>
      <w:proofErr w:type="spellStart"/>
      <w:r w:rsidRPr="00B77D7A">
        <w:rPr>
          <w:rFonts w:ascii="inherit" w:eastAsia="Times New Roman" w:hAnsi="inherit" w:cs="Times New Roman"/>
          <w:color w:val="333333"/>
          <w:sz w:val="24"/>
          <w:szCs w:val="24"/>
        </w:rPr>
        <w:t>i</w:t>
      </w:r>
      <w:proofErr w:type="spellEnd"/>
      <w:r w:rsidRPr="00B77D7A">
        <w:rPr>
          <w:rFonts w:ascii="inherit" w:eastAsia="Times New Roman" w:hAnsi="inherit" w:cs="Times New Roman"/>
          <w:color w:val="333333"/>
          <w:sz w:val="24"/>
          <w:szCs w:val="24"/>
        </w:rPr>
        <w:t xml:space="preserve">) to calculate the equivalent exposure (in relation to OSHA PELS) for the metal fumes with similar health effects based on the “Result” column in the table above. Discuss whether you believe any of the individual metal fume exposures or the combined exposure exceeds an OSHA PEL or an ACGIH TLV. </w:t>
      </w:r>
    </w:p>
    <w:p w14:paraId="383C012B" w14:textId="77777777" w:rsidR="00B77D7A" w:rsidRPr="00B77D7A" w:rsidRDefault="00B77D7A" w:rsidP="00B77D7A">
      <w:pPr>
        <w:spacing w:after="0" w:line="240" w:lineRule="auto"/>
        <w:rPr>
          <w:rFonts w:ascii="inherit" w:eastAsia="Times New Roman" w:hAnsi="inherit" w:cs="Times New Roman"/>
          <w:color w:val="333333"/>
          <w:sz w:val="24"/>
          <w:szCs w:val="24"/>
        </w:rPr>
      </w:pPr>
      <w:r w:rsidRPr="00B77D7A">
        <w:rPr>
          <w:rFonts w:ascii="inherit" w:eastAsia="Times New Roman" w:hAnsi="inherit" w:cs="Times New Roman"/>
          <w:color w:val="333333"/>
          <w:sz w:val="24"/>
          <w:szCs w:val="24"/>
        </w:rPr>
        <w:t xml:space="preserve">Your homework assignment should be a minimum of two pages in length. </w:t>
      </w:r>
    </w:p>
    <w:p w14:paraId="7105AF6D" w14:textId="77777777" w:rsidR="00B77D7A" w:rsidRDefault="00B77D7A">
      <w:bookmarkStart w:id="0" w:name="_GoBack"/>
      <w:bookmarkEnd w:id="0"/>
    </w:p>
    <w:sectPr w:rsidR="00B77D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7A"/>
    <w:rsid w:val="00B7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20AA"/>
  <w15:chartTrackingRefBased/>
  <w15:docId w15:val="{9A1DEDB3-85E9-419D-8661-F392B984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2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2019-09-22T20:41:00Z</dcterms:created>
  <dcterms:modified xsi:type="dcterms:W3CDTF">2019-09-22T20:43:00Z</dcterms:modified>
</cp:coreProperties>
</file>